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ackground w:color="14110D"/>
  <w:body>
    <w:tbl>
      <w:tblPr>
        <w:tblW w:type="dxa" w:w="1224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240"/>
      </w:tblGrid>
      <w:tr>
        <w:trPr>
          <w:trHeight w:val="15760" w:hRule="exact"/>
        </w:trPr>
        <w:tc>
          <w:tcPr>
            <w:tcW w:type="dxa" w:w="12240"/>
            <w:tcBorders>
              <w:top w:val="none"/>
              <w:left w:val="none"/>
              <w:bottom w:val="none"/>
              <w:right w:val="none"/>
            </w:tcBorders>
            <w:shd w:fill="14110D" w:val="clear"/>
            <w:tcMar>
              <w:top w:type="dxa" w:w="400"/>
              <w:left w:type="dxa" w:w="700"/>
              <w:bottom w:type="dxa" w:w="400"/>
              <w:right w:type="dxa" w:w="700"/>
            </w:tcMar>
            <w:vAlign w:val="center"/>
          </w:tcPr>
          <w:tbl>
            <w:tblPr>
              <w:tblW w:type="dxa" w:w="108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800"/>
            </w:tblGrid>
            <w:tr>
              <w:trPr>
                <w:trHeight w:val="14880" w:hRule="exact"/>
              </w:trPr>
              <w:tc>
                <w:tcPr>
                  <w:tcW w:type="dxa" w:w="10800"/>
                  <w:tcBorders>
                    <w:top w:val="double" w:color="C6A15B" w:sz="6"/>
                    <w:left w:val="double" w:color="C6A15B" w:sz="6"/>
                    <w:bottom w:val="double" w:color="C6A15B" w:sz="6"/>
                    <w:right w:val="double" w:color="C6A15B" w:sz="6"/>
                  </w:tcBorders>
                  <w:shd w:fill="14110D" w:val="clear"/>
                  <w:tcMar>
                    <w:top w:type="dxa" w:w="60"/>
                    <w:left w:type="dxa" w:w="220"/>
                    <w:bottom w:type="dxa" w:w="60"/>
                    <w:right w:type="dxa" w:w="220"/>
                  </w:tcMar>
                </w:tcPr>
                <w:p>
                  <w:pPr>
                    <w:spacing w:after="80" w:before="160"/>
                    <w:jc w:val="center"/>
                  </w:pPr>
                  <w:r>
                    <w:drawing>
                      <wp:inline distT="0" distB="0" distL="0" distR="0">
                        <wp:extent cx="495300" cy="314325"/>
                        <wp:effectExtent t="0" r="0" b="0" l="0"/>
                        <wp:docPr id="1" name="" descr="" titl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5300" cy="314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60" w:before="0"/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aps/>
                      <w:color w:val="8F8571"/>
                      <w:spacing w:val="50"/>
                      <w:sz w:val="13"/>
                      <w:szCs w:val="13"/>
                    </w:rPr>
                    <w:t xml:space="preserve">Unlimited Exchange International</w:t>
                  </w:r>
                </w:p>
                <w:p>
                  <w:pPr>
                    <w:spacing w:after="60" w:before="0"/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aps/>
                      <w:color w:val="C6A15B"/>
                      <w:spacing w:val="200"/>
                      <w:sz w:val="46"/>
                      <w:szCs w:val="46"/>
                    </w:rPr>
                    <w:t xml:space="preserve">Privato</w:t>
                  </w:r>
                </w:p>
                <w:p>
                  <w:pPr>
                    <w:spacing w:after="40" w:before="0"/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aps/>
                      <w:color w:val="8F8571"/>
                      <w:spacing w:val="80"/>
                      <w:sz w:val="14"/>
                      <w:szCs w:val="14"/>
                    </w:rPr>
                    <w:t xml:space="preserve">Duty Free   ·   Private Aviation</w:t>
                  </w:r>
                </w:p>
                <w:p>
                  <w:pPr>
                    <w:spacing w:after="120" w:before="120"/>
                    <w:jc w:val="center"/>
                  </w:pPr>
                  <w:r>
                    <w:rPr>
                      <w:rFonts w:ascii="Arial" w:cs="Arial" w:eastAsia="Arial" w:hAnsi="Arial"/>
                      <w:color w:val="C6A15B"/>
                      <w:sz w:val="10"/>
                      <w:szCs w:val="10"/>
                    </w:rPr>
                    <w:t xml:space="preserve">————</w:t>
                  </w:r>
                </w:p>
                <w:p>
                  <w:pPr>
                    <w:spacing w:after="100" w:before="0"/>
                    <w:jc w:val="center"/>
                  </w:pPr>
                  <w:r>
                    <w:rPr>
                      <w:rFonts w:ascii="Garamond" w:cs="Garamond" w:eastAsia="Garamond" w:hAnsi="Garamond"/>
                      <w:b w:val="false"/>
                      <w:bCs w:val="false"/>
                      <w:i/>
                      <w:iCs/>
                      <w:color w:val="E8DCC3"/>
                      <w:sz w:val="40"/>
                      <w:szCs w:val="40"/>
                    </w:rPr>
                    <w:t xml:space="preserve">Building the retail brand.</w:t>
                  </w:r>
                </w:p>
                <w:p>
                  <w:pPr>
                    <w:spacing w:after="20" w:before="0"/>
                    <w:jc w:val="center"/>
                  </w:pPr>
                  <w:r>
                    <w:rPr>
                      <w:rFonts w:ascii="Garamond" w:cs="Garamond" w:eastAsia="Garamond" w:hAnsi="Garamond"/>
                      <w:b w:val="false"/>
                      <w:bCs w:val="false"/>
                      <w:i w:val="false"/>
                      <w:iCs w:val="false"/>
                      <w:color w:val="B4A88E"/>
                      <w:sz w:val="21"/>
                      <w:szCs w:val="21"/>
                    </w:rPr>
                    <w:t xml:space="preserve">A bonded supply chain and agreements few retailers can hold.</w:t>
                  </w:r>
                </w:p>
                <w:p>
                  <w:pPr>
                    <w:spacing w:after="140" w:before="0"/>
                    <w:jc w:val="center"/>
                  </w:pPr>
                  <w:r>
                    <w:rPr>
                      <w:rFonts w:ascii="Garamond" w:cs="Garamond" w:eastAsia="Garamond" w:hAnsi="Garamond"/>
                      <w:b w:val="false"/>
                      <w:bCs w:val="false"/>
                      <w:i w:val="false"/>
                      <w:iCs w:val="false"/>
                      <w:color w:val="B4A88E"/>
                      <w:sz w:val="21"/>
                      <w:szCs w:val="21"/>
                    </w:rPr>
                    <w:t xml:space="preserve">The retail layer is the opportunity. Four moves, in order.</w:t>
                  </w:r>
                </w:p>
                <w:p>
                  <w:pPr>
                    <w:spacing w:after="80" w:before="0"/>
                    <w:jc w:val="center"/>
                  </w:pPr>
                  <w:r>
                    <w:drawing>
                      <wp:inline distT="0" distB="0" distL="0" distR="0">
                        <wp:extent cx="3886200" cy="2495550"/>
                        <wp:effectExtent t="0" r="0" b="0" l="0"/>
                        <wp:docPr id="1" name="" descr="" titl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86200" cy="2495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180" w:before="0"/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aps/>
                      <w:color w:val="8F8571"/>
                      <w:spacing w:val="34"/>
                      <w:sz w:val="12"/>
                      <w:szCs w:val="12"/>
                    </w:rPr>
                    <w:t xml:space="preserve">The Network  —  34 Airport Markets  ·  100+ FBO Points of Sale  ·  Home Base Fort Lauderdale</w:t>
                  </w:r>
                </w:p>
                <w:tbl>
                  <w:tblPr>
                    <w:tblW w:type="dxa" w:w="10160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5080"/>
                    <w:gridCol w:w="5080"/>
                  </w:tblGrid>
                  <w:tr>
                    <w:tc>
                      <w:tcPr>
                        <w:tcW w:type="dxa" w:w="5080"/>
                        <w:tcBorders>
                          <w:top w:val="single" w:color="5A4C33" w:sz="3"/>
                          <w:left w:val="none"/>
                          <w:bottom w:val="none"/>
                          <w:right w:val="single" w:color="5A4C33" w:sz="3"/>
                        </w:tcBorders>
                        <w:shd w:fill="14110D" w:val="clear"/>
                        <w:tcMar>
                          <w:top w:type="dxa" w:w="160"/>
                          <w:left w:type="dxa" w:w="200"/>
                          <w:bottom w:type="dxa" w:w="160"/>
                          <w:right w:type="dxa" w:w="200"/>
                        </w:tcMar>
                      </w:tcPr>
                      <w:p>
                        <w:pPr>
                          <w:spacing w:after="60" w:before="0"/>
                          <w:jc w:val="left"/>
                        </w:pPr>
                        <w:r>
                          <w:rPr>
                            <w:rFonts w:ascii="Garamond" w:cs="Garamond" w:eastAsia="Garamond" w:hAnsi="Garamond"/>
                            <w:b w:val="false"/>
                            <w:bCs w:val="false"/>
                            <w:i w:val="false"/>
                            <w:iCs w:val="false"/>
                            <w:color w:val="C6A15B"/>
                            <w:sz w:val="26"/>
                            <w:szCs w:val="26"/>
                          </w:rPr>
                          <w:t xml:space="preserve">1   </w:t>
                        </w:r>
                        <w:r>
                          <w:rPr>
                            <w:rFonts w:ascii="Arial" w:cs="Arial" w:eastAsia="Arial" w:hAnsi="Arial"/>
                            <w:b w:val="false"/>
                            <w:bCs w:val="false"/>
                            <w:caps/>
                            <w:color w:val="E8DCC3"/>
                            <w:spacing w:val="30"/>
                            <w:sz w:val="19"/>
                            <w:szCs w:val="19"/>
                          </w:rPr>
                          <w:t xml:space="preserve">Make the Footprint Findable</w:t>
                        </w:r>
                      </w:p>
                      <w:p>
                        <w:pPr>
                          <w:spacing w:after="0" w:before="0" w:line="264" w:lineRule="auto"/>
                          <w:jc w:val="left"/>
                        </w:pPr>
                        <w:r>
                          <w:rPr>
                            <w:rFonts w:ascii="Garamond" w:cs="Garamond" w:eastAsia="Garamond" w:hAnsi="Garamond"/>
                            <w:b w:val="false"/>
                            <w:bCs w:val="false"/>
                            <w:i w:val="false"/>
                            <w:iCs w:val="false"/>
                            <w:color w:val="B4A88E"/>
                            <w:sz w:val="20"/>
                            <w:szCs w:val="20"/>
                          </w:rPr>
                          <w:t xml:space="preserve">Put Privato where its customers already search. Claim priority map listings under one retail name and secure visible mentions from the FBOs already served.</w:t>
                        </w:r>
                      </w:p>
                    </w:tc>
                    <w:tc>
                      <w:tcPr>
                        <w:tcW w:type="dxa" w:w="5080"/>
                        <w:tcBorders>
                          <w:top w:val="single" w:color="5A4C33" w:sz="3"/>
                          <w:left w:val="none"/>
                          <w:bottom w:val="none"/>
                          <w:right w:val="none"/>
                        </w:tcBorders>
                        <w:shd w:fill="14110D" w:val="clear"/>
                        <w:tcMar>
                          <w:top w:type="dxa" w:w="160"/>
                          <w:left w:type="dxa" w:w="200"/>
                          <w:bottom w:type="dxa" w:w="160"/>
                          <w:right w:type="dxa" w:w="200"/>
                        </w:tcMar>
                      </w:tcPr>
                      <w:p>
                        <w:pPr>
                          <w:spacing w:after="60" w:before="0"/>
                          <w:jc w:val="left"/>
                        </w:pPr>
                        <w:r>
                          <w:rPr>
                            <w:rFonts w:ascii="Garamond" w:cs="Garamond" w:eastAsia="Garamond" w:hAnsi="Garamond"/>
                            <w:b w:val="false"/>
                            <w:bCs w:val="false"/>
                            <w:i w:val="false"/>
                            <w:iCs w:val="false"/>
                            <w:color w:val="C6A15B"/>
                            <w:sz w:val="26"/>
                            <w:szCs w:val="26"/>
                          </w:rPr>
                          <w:t xml:space="preserve">2   </w:t>
                        </w:r>
                        <w:r>
                          <w:rPr>
                            <w:rFonts w:ascii="Arial" w:cs="Arial" w:eastAsia="Arial" w:hAnsi="Arial"/>
                            <w:b w:val="false"/>
                            <w:bCs w:val="false"/>
                            <w:caps/>
                            <w:color w:val="E8DCC3"/>
                            <w:spacing w:val="30"/>
                            <w:sz w:val="19"/>
                            <w:szCs w:val="19"/>
                          </w:rPr>
                          <w:t xml:space="preserve">Refresh and Relaunch the App</w:t>
                        </w:r>
                      </w:p>
                      <w:p>
                        <w:pPr>
                          <w:spacing w:after="0" w:before="0" w:line="264" w:lineRule="auto"/>
                          <w:jc w:val="left"/>
                        </w:pPr>
                        <w:r>
                          <w:rPr>
                            <w:rFonts w:ascii="Garamond" w:cs="Garamond" w:eastAsia="Garamond" w:hAnsi="Garamond"/>
                            <w:b w:val="false"/>
                            <w:bCs w:val="false"/>
                            <w:i w:val="false"/>
                            <w:iCs w:val="false"/>
                            <w:color w:val="B4A88E"/>
                            <w:sz w:val="20"/>
                            <w:szCs w:val="20"/>
                          </w:rPr>
                          <w:t xml:space="preserve">Browse en route or in the lounge — the order meets the aircraft before departure. The concept below, made real.</w:t>
                        </w:r>
                      </w:p>
                    </w:tc>
                  </w:tr>
                  <w:tr>
                    <w:tc>
                      <w:tcPr>
                        <w:tcW w:type="dxa" w:w="5080"/>
                        <w:tcBorders>
                          <w:top w:val="single" w:color="5A4C33" w:sz="3"/>
                          <w:left w:val="none"/>
                          <w:bottom w:val="none"/>
                          <w:right w:val="single" w:color="5A4C33" w:sz="3"/>
                        </w:tcBorders>
                        <w:shd w:fill="14110D" w:val="clear"/>
                        <w:tcMar>
                          <w:top w:type="dxa" w:w="160"/>
                          <w:left w:type="dxa" w:w="200"/>
                          <w:bottom w:type="dxa" w:w="160"/>
                          <w:right w:type="dxa" w:w="200"/>
                        </w:tcMar>
                      </w:tcPr>
                      <w:p>
                        <w:pPr>
                          <w:spacing w:after="60" w:before="0"/>
                          <w:jc w:val="left"/>
                        </w:pPr>
                        <w:r>
                          <w:rPr>
                            <w:rFonts w:ascii="Garamond" w:cs="Garamond" w:eastAsia="Garamond" w:hAnsi="Garamond"/>
                            <w:b w:val="false"/>
                            <w:bCs w:val="false"/>
                            <w:i w:val="false"/>
                            <w:iCs w:val="false"/>
                            <w:color w:val="C6A15B"/>
                            <w:sz w:val="26"/>
                            <w:szCs w:val="26"/>
                          </w:rPr>
                          <w:t xml:space="preserve">3   </w:t>
                        </w:r>
                        <w:r>
                          <w:rPr>
                            <w:rFonts w:ascii="Arial" w:cs="Arial" w:eastAsia="Arial" w:hAnsi="Arial"/>
                            <w:b w:val="false"/>
                            <w:bCs w:val="false"/>
                            <w:caps/>
                            <w:color w:val="E8DCC3"/>
                            <w:spacing w:val="30"/>
                            <w:sz w:val="19"/>
                            <w:szCs w:val="19"/>
                          </w:rPr>
                          <w:t xml:space="preserve">Lead with the Scarce</w:t>
                        </w:r>
                      </w:p>
                      <w:p>
                        <w:pPr>
                          <w:spacing w:after="0" w:before="0" w:line="264" w:lineRule="auto"/>
                          <w:jc w:val="left"/>
                        </w:pPr>
                        <w:r>
                          <w:rPr>
                            <w:rFonts w:ascii="Garamond" w:cs="Garamond" w:eastAsia="Garamond" w:hAnsi="Garamond"/>
                            <w:b w:val="false"/>
                            <w:bCs w:val="false"/>
                            <w:i w:val="false"/>
                            <w:iCs w:val="false"/>
                            <w:color w:val="B4A88E"/>
                            <w:sz w:val="20"/>
                            <w:szCs w:val="20"/>
                          </w:rPr>
                          <w:t xml:space="preserve">Selective skincare, boutique houses, and limited releases few others carry — offered where regulation allows.</w:t>
                        </w:r>
                      </w:p>
                    </w:tc>
                    <w:tc>
                      <w:tcPr>
                        <w:tcW w:type="dxa" w:w="5080"/>
                        <w:tcBorders>
                          <w:top w:val="single" w:color="5A4C33" w:sz="3"/>
                          <w:left w:val="none"/>
                          <w:bottom w:val="none"/>
                          <w:right w:val="none"/>
                        </w:tcBorders>
                        <w:shd w:fill="14110D" w:val="clear"/>
                        <w:tcMar>
                          <w:top w:type="dxa" w:w="160"/>
                          <w:left w:type="dxa" w:w="200"/>
                          <w:bottom w:type="dxa" w:w="160"/>
                          <w:right w:type="dxa" w:w="200"/>
                        </w:tcMar>
                      </w:tcPr>
                      <w:p>
                        <w:pPr>
                          <w:spacing w:after="60" w:before="0"/>
                          <w:jc w:val="left"/>
                        </w:pPr>
                        <w:r>
                          <w:rPr>
                            <w:rFonts w:ascii="Garamond" w:cs="Garamond" w:eastAsia="Garamond" w:hAnsi="Garamond"/>
                            <w:b w:val="false"/>
                            <w:bCs w:val="false"/>
                            <w:i w:val="false"/>
                            <w:iCs w:val="false"/>
                            <w:color w:val="C6A15B"/>
                            <w:sz w:val="26"/>
                            <w:szCs w:val="26"/>
                          </w:rPr>
                          <w:t xml:space="preserve">4   </w:t>
                        </w:r>
                        <w:r>
                          <w:rPr>
                            <w:rFonts w:ascii="Arial" w:cs="Arial" w:eastAsia="Arial" w:hAnsi="Arial"/>
                            <w:b w:val="false"/>
                            <w:bCs w:val="false"/>
                            <w:caps/>
                            <w:color w:val="E8DCC3"/>
                            <w:spacing w:val="30"/>
                            <w:sz w:val="19"/>
                            <w:szCs w:val="19"/>
                          </w:rPr>
                          <w:t xml:space="preserve">Open the Partner Channel</w:t>
                        </w:r>
                      </w:p>
                      <w:p>
                        <w:pPr>
                          <w:spacing w:after="0" w:before="0" w:line="264" w:lineRule="auto"/>
                          <w:jc w:val="left"/>
                        </w:pPr>
                        <w:r>
                          <w:rPr>
                            <w:rFonts w:ascii="Garamond" w:cs="Garamond" w:eastAsia="Garamond" w:hAnsi="Garamond"/>
                            <w:b w:val="false"/>
                            <w:bCs w:val="false"/>
                            <w:i w:val="false"/>
                            <w:iCs w:val="false"/>
                            <w:color w:val="B4A88E"/>
                            <w:sz w:val="20"/>
                            <w:szCs w:val="20"/>
                          </w:rPr>
                          <w:t xml:space="preserve">Turn formal aviation, hospitality, and event partner programs into a repeatable acquisition channel. Begin with programs that already accept partner applications.</w:t>
                        </w:r>
                      </w:p>
                    </w:tc>
                  </w:tr>
                </w:tbl>
                <w:p>
                  <w:pPr>
                    <w:spacing w:after="120"/>
                  </w:pPr>
                </w:p>
                <w:tbl>
                  <w:tblPr>
                    <w:tblW w:type="dxa" w:w="10160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700"/>
                    <w:gridCol w:w="1690"/>
                    <w:gridCol w:w="1690"/>
                    <w:gridCol w:w="1690"/>
                    <w:gridCol w:w="1690"/>
                    <w:gridCol w:w="1700"/>
                  </w:tblGrid>
                  <w:tr>
                    <w:tc>
                      <w:tcPr>
                        <w:tcBorders>
                          <w:top w:val="none"/>
                          <w:left w:val="none"/>
                          <w:bottom w:val="none"/>
                          <w:right w:val="none"/>
                        </w:tcBorders>
                        <w:shd w:fill="14110D" w:val="clear"/>
                        <w:vAlign w:val="center"/>
                      </w:tcPr>
                      <w:p>
                        <w:pPr>
                          <w:spacing w:after="0" w:before="0"/>
                          <w:jc w:val="center"/>
                        </w:pPr>
                        <w:r>
                          <w:drawing>
                            <wp:inline distT="0" distB="0" distL="0" distR="0">
                              <wp:extent cx="800100" cy="1733550"/>
                              <wp:effectExtent t="0" r="0" b="0" l="0"/>
                              <wp:docPr id="1" name="" descr="" title="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 descr="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none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00100" cy="17335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Borders>
                          <w:top w:val="none"/>
                          <w:left w:val="none"/>
                          <w:bottom w:val="none"/>
                          <w:right w:val="none"/>
                        </w:tcBorders>
                        <w:shd w:fill="14110D" w:val="clear"/>
                        <w:vAlign w:val="center"/>
                      </w:tcPr>
                      <w:p>
                        <w:pPr>
                          <w:spacing w:after="20" w:before="0"/>
                          <w:jc w:val="center"/>
                        </w:pPr>
                        <w:r>
                          <w:rPr>
                            <w:rFonts w:ascii="Garamond" w:cs="Garamond" w:eastAsia="Garamond" w:hAnsi="Garamond"/>
                            <w:b w:val="false"/>
                            <w:bCs w:val="false"/>
                            <w:i w:val="false"/>
                            <w:iCs w:val="false"/>
                            <w:color w:val="C6A15B"/>
                            <w:sz w:val="40"/>
                            <w:szCs w:val="40"/>
                          </w:rPr>
                          <w:t xml:space="preserve">163</w:t>
                        </w:r>
                      </w:p>
                      <w:p>
                        <w:pPr>
                          <w:spacing w:after="0" w:before="0"/>
                          <w:jc w:val="center"/>
                        </w:pPr>
                        <w:r>
                          <w:rPr>
                            <w:rFonts w:ascii="Arial" w:cs="Arial" w:eastAsia="Arial" w:hAnsi="Arial"/>
                            <w:b w:val="false"/>
                            <w:bCs w:val="false"/>
                            <w:caps/>
                            <w:color w:val="8F8571"/>
                            <w:spacing w:val="14"/>
                            <w:sz w:val="12"/>
                            <w:szCs w:val="12"/>
                          </w:rPr>
                          <w:t xml:space="preserve">Brands Identified</w:t>
                        </w:r>
                      </w:p>
                    </w:tc>
                    <w:tc>
                      <w:tcPr>
                        <w:tcBorders>
                          <w:top w:val="none"/>
                          <w:left w:val="none"/>
                          <w:bottom w:val="none"/>
                          <w:right w:val="none"/>
                        </w:tcBorders>
                        <w:shd w:fill="14110D" w:val="clear"/>
                        <w:vAlign w:val="center"/>
                      </w:tcPr>
                      <w:p>
                        <w:pPr>
                          <w:spacing w:after="20" w:before="0"/>
                          <w:jc w:val="center"/>
                        </w:pPr>
                        <w:r>
                          <w:rPr>
                            <w:rFonts w:ascii="Garamond" w:cs="Garamond" w:eastAsia="Garamond" w:hAnsi="Garamond"/>
                            <w:b w:val="false"/>
                            <w:bCs w:val="false"/>
                            <w:i w:val="false"/>
                            <w:iCs w:val="false"/>
                            <w:color w:val="C6A15B"/>
                            <w:sz w:val="40"/>
                            <w:szCs w:val="40"/>
                          </w:rPr>
                          <w:t xml:space="preserve">24</w:t>
                        </w:r>
                      </w:p>
                      <w:p>
                        <w:pPr>
                          <w:spacing w:after="0" w:before="0"/>
                          <w:jc w:val="center"/>
                        </w:pPr>
                        <w:r>
                          <w:rPr>
                            <w:rFonts w:ascii="Arial" w:cs="Arial" w:eastAsia="Arial" w:hAnsi="Arial"/>
                            <w:b w:val="false"/>
                            <w:bCs w:val="false"/>
                            <w:caps/>
                            <w:color w:val="8F8571"/>
                            <w:spacing w:val="14"/>
                            <w:sz w:val="12"/>
                            <w:szCs w:val="12"/>
                          </w:rPr>
                          <w:t xml:space="preserve">Differentiators</w:t>
                        </w:r>
                      </w:p>
                    </w:tc>
                    <w:tc>
                      <w:tcPr>
                        <w:tcBorders>
                          <w:top w:val="none"/>
                          <w:left w:val="none"/>
                          <w:bottom w:val="none"/>
                          <w:right w:val="none"/>
                        </w:tcBorders>
                        <w:shd w:fill="14110D" w:val="clear"/>
                        <w:vAlign w:val="center"/>
                      </w:tcPr>
                      <w:p>
                        <w:pPr>
                          <w:spacing w:after="20" w:before="0"/>
                          <w:jc w:val="center"/>
                        </w:pPr>
                        <w:r>
                          <w:rPr>
                            <w:rFonts w:ascii="Garamond" w:cs="Garamond" w:eastAsia="Garamond" w:hAnsi="Garamond"/>
                            <w:b w:val="false"/>
                            <w:bCs w:val="false"/>
                            <w:i w:val="false"/>
                            <w:iCs w:val="false"/>
                            <w:color w:val="C6A15B"/>
                            <w:sz w:val="40"/>
                            <w:szCs w:val="40"/>
                          </w:rPr>
                          <w:t xml:space="preserve">100+</w:t>
                        </w:r>
                      </w:p>
                      <w:p>
                        <w:pPr>
                          <w:spacing w:after="0" w:before="0"/>
                          <w:jc w:val="center"/>
                        </w:pPr>
                        <w:r>
                          <w:rPr>
                            <w:rFonts w:ascii="Arial" w:cs="Arial" w:eastAsia="Arial" w:hAnsi="Arial"/>
                            <w:b w:val="false"/>
                            <w:bCs w:val="false"/>
                            <w:caps/>
                            <w:color w:val="8F8571"/>
                            <w:spacing w:val="14"/>
                            <w:sz w:val="12"/>
                            <w:szCs w:val="12"/>
                          </w:rPr>
                          <w:t xml:space="preserve">FBO Points of Sale</w:t>
                        </w:r>
                      </w:p>
                    </w:tc>
                    <w:tc>
                      <w:tcPr>
                        <w:tcBorders>
                          <w:top w:val="none"/>
                          <w:left w:val="none"/>
                          <w:bottom w:val="none"/>
                          <w:right w:val="none"/>
                        </w:tcBorders>
                        <w:shd w:fill="14110D" w:val="clear"/>
                        <w:vAlign w:val="center"/>
                      </w:tcPr>
                      <w:p>
                        <w:pPr>
                          <w:spacing w:after="20" w:before="0"/>
                          <w:jc w:val="center"/>
                        </w:pPr>
                        <w:r>
                          <w:rPr>
                            <w:rFonts w:ascii="Garamond" w:cs="Garamond" w:eastAsia="Garamond" w:hAnsi="Garamond"/>
                            <w:b w:val="false"/>
                            <w:bCs w:val="false"/>
                            <w:i w:val="false"/>
                            <w:iCs w:val="false"/>
                            <w:color w:val="C6A15B"/>
                            <w:sz w:val="40"/>
                            <w:szCs w:val="40"/>
                          </w:rPr>
                          <w:t xml:space="preserve">0</w:t>
                        </w:r>
                      </w:p>
                      <w:p>
                        <w:pPr>
                          <w:spacing w:after="0" w:before="0"/>
                          <w:jc w:val="center"/>
                        </w:pPr>
                        <w:r>
                          <w:rPr>
                            <w:rFonts w:ascii="Arial" w:cs="Arial" w:eastAsia="Arial" w:hAnsi="Arial"/>
                            <w:b w:val="false"/>
                            <w:bCs w:val="false"/>
                            <w:caps/>
                            <w:color w:val="8F8571"/>
                            <w:spacing w:val="14"/>
                            <w:sz w:val="12"/>
                            <w:szCs w:val="12"/>
                          </w:rPr>
                          <w:t xml:space="preserve">Privato Google Listings</w:t>
                        </w:r>
                      </w:p>
                    </w:tc>
                    <w:tc>
                      <w:tcPr>
                        <w:tcBorders>
                          <w:top w:val="none"/>
                          <w:left w:val="none"/>
                          <w:bottom w:val="none"/>
                          <w:right w:val="none"/>
                        </w:tcBorders>
                        <w:shd w:fill="14110D" w:val="clear"/>
                        <w:vAlign w:val="center"/>
                      </w:tcPr>
                      <w:p>
                        <w:pPr>
                          <w:spacing w:after="0" w:before="0"/>
                          <w:jc w:val="center"/>
                        </w:pPr>
                        <w:r>
                          <w:drawing>
                            <wp:inline distT="0" distB="0" distL="0" distR="0">
                              <wp:extent cx="800100" cy="1733550"/>
                              <wp:effectExtent t="0" r="0" b="0" l="0"/>
                              <wp:docPr id="1" name="" descr="" title="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 descr="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 cstate="none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00100" cy="17335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>
                  <w:pPr>
                    <w:spacing w:after="120" w:before="120"/>
                    <w:jc w:val="center"/>
                  </w:pPr>
                  <w:r>
                    <w:rPr>
                      <w:rFonts w:ascii="Arial" w:cs="Arial" w:eastAsia="Arial" w:hAnsi="Arial"/>
                      <w:color w:val="C6A15B"/>
                      <w:sz w:val="10"/>
                      <w:szCs w:val="10"/>
                    </w:rPr>
                    <w:t xml:space="preserve">————</w:t>
                  </w:r>
                </w:p>
                <w:p>
                  <w:pPr>
                    <w:spacing w:after="30" w:before="0"/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aps/>
                      <w:color w:val="8F8571"/>
                      <w:spacing w:val="30"/>
                      <w:sz w:val="12"/>
                      <w:szCs w:val="12"/>
                    </w:rPr>
                    <w:t xml:space="preserve">ULXI  ·  Jonathan W Dimock  ·  jwd@ulxi.com  ·  Draft, for Discussion  ·  August 2026</w:t>
                  </w:r>
                </w:p>
                <w:p>
                  <w:pPr>
                    <w:spacing w:after="60" w:before="0"/>
                    <w:jc w:val="center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caps/>
                      <w:color w:val="8F8571"/>
                      <w:spacing w:val="24"/>
                      <w:sz w:val="11"/>
                      <w:szCs w:val="11"/>
                    </w:rPr>
                    <w:t xml:space="preserve">Companions: Retail Brand Report  ·  Brand-Vendor-Location Matrix</w:t>
                  </w:r>
                </w:p>
              </w:tc>
            </w:tr>
          </w:tbl>
          <w:p/>
        </w:tc>
      </w:tr>
    </w:tbl>
    <w:sectPr>
      <w:pgSz w:w="12240" w:h="15840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2ff75c7747d61561f4fce0e866fd7613f15c1a62.png"/><Relationship Id="rId8" Type="http://schemas.openxmlformats.org/officeDocument/2006/relationships/image" Target="media/e4e03bc15dcdf920c962ac59e1bc57e6942b6380.png"/><Relationship Id="rId9" Type="http://schemas.openxmlformats.org/officeDocument/2006/relationships/image" Target="media/d4a63f5491f644d70812b40e4f97c8ea36bcde62.png"/><Relationship Id="rId10" Type="http://schemas.openxmlformats.org/officeDocument/2006/relationships/image" Target="media/e9ae712884987a71f89d98824ceffb0f733d7ffd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2026-08-27T23:45:57.478Z</dcterms:created>
  <dcterms:modified xsi:type="dcterms:W3CDTF">2026-08-27T23:45:57.478Z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